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B5" w:rsidRDefault="006B65B5" w:rsidP="0033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Выступление на ШМО учителей начальной школы</w:t>
      </w:r>
    </w:p>
    <w:p w:rsidR="006B65B5" w:rsidRDefault="006B65B5" w:rsidP="0033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МБОУ СОШ № 5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Мухамедьяровой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Елены Васильевны </w:t>
      </w:r>
    </w:p>
    <w:p w:rsidR="006B65B5" w:rsidRDefault="006B65B5" w:rsidP="0033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Инновационный подход к организации контрольно- оценочной деятельности в условиях реализации ФГОС НОО</w:t>
      </w:r>
    </w:p>
    <w:p w:rsidR="006B65B5" w:rsidRDefault="006B65B5" w:rsidP="0033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Протокол № 2 от 19.01.2016</w:t>
      </w:r>
    </w:p>
    <w:p w:rsidR="00EC2084" w:rsidRPr="003314D1" w:rsidRDefault="00EC2084" w:rsidP="003314D1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4D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Социальная нормативная ориентация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Индивидуальная нормативная ориентация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Кратко представленная выше общая идеология стандарта: подход к стандарту как к общественному договору, </w:t>
      </w:r>
      <w:proofErr w:type="spell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деятельностная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парадигма образования, нацеленность на достижение результата, – накладывает определенные рамки на все принимаемые разработчиками решения, на все готовящиеся документы – как на Требования стандарта, так и на сопровождающие его документы, обеспечивающие функционирование стандарта.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частности, </w:t>
      </w:r>
      <w:r w:rsidRPr="00EC2084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при организации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эти требования проявляются в необходимости: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дифференциации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основе дифференциации требований к освоению учебных программ,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индивидуализации обучения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нацеленности учебного процесса на каждом его этапе, каждом его отрезке, на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достижение определенных, заранее планируемых учителем результатов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организации с этой целью целенаправленной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совместной учебно-познавательной деятельности учителя и учащихся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ученического сообщества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оценочной самостоятельности младших школьников.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наряду с традиционным вопросом “Чему учить?” в новом стандарте важнейшим становится вопрос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учить?”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или, точнее, «Как учить так, чтобы инициировать у детей собственные вопросы: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Чему мне нужно научиться?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мне этому научиться?”».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Иными словами, в новом стандарте меняется фокусировка: он 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фокусируется не только на проблемы отбора и организации содержания образования (к которому добавляется новый пласт, связанный с формированием универсальных учебных действий), но и на проблемы организации образовательного процесса, в частности – учебного процесса.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Общая идеология стандарта определяет рамки не только разработки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но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оценки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всех разработанных документов, в том числе –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при их апробации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одним из важнейших вопросов является </w:t>
      </w:r>
    </w:p>
    <w:p w:rsidR="00EC2084" w:rsidRPr="00EC2084" w:rsidRDefault="00EC2084" w:rsidP="00EC2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соответствии каждого выносимого на апробацию материала общей идеологии стандарта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непротиворечимости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всей совокупности документов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в частности,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способствуют ли они перестройке образовательного процесса в духе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деятельностной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прадигмы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3314D1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4D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2. </w:t>
      </w:r>
      <w:r w:rsidR="00EC2084"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Помните</w:t>
      </w:r>
      <w:r w:rsidR="00EC2084"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Постоянное получение обучающимся одних и тех же положительных либо отрицательных отметок воспринимается с меньшими эмоциональными переживаниями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Кратко представленная выше общая идеология стандарта: подход к стандарту как к общественному договору, </w:t>
      </w:r>
      <w:proofErr w:type="spell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деятельностная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парадигма образования, нацеленность на достижение результата, – накладывает определенные рамки на все принимаемые разработчиками решения, на все готовящиеся документы – как на Требования стандарта, так и на сопровождающие его документы, обеспечивающие функционирование стандарта.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частности, </w:t>
      </w:r>
      <w:r w:rsidRPr="00EC2084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при организации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эти требования проявляются в необходимости: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дифференциации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основе дифференциации требований к освоению учебных программ,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индивидуализации обучения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нацеленности учебного процесса на каждом его этапе, каждом его отрезке, на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достижение определенных, заранее планируемых учителем результатов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организации с этой целью целенаправленной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совместной учебно-познавательной деятельности учителя и учащихся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ученического сообщества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оценочной самостоятельности младших школьников.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наряду с традиционным вопросом “Чему учить?” в новом стандарте важнейшим становится вопрос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учить?”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или, точнее, «Как учить так, чтобы инициировать у детей собственные вопросы: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Чему мне нужно научиться?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мне этому научиться?”».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Иными словами, в новом стандарте меняется фокусировка: он фокусируется не только на проблемы отбора и организации содержания образования (к которому добавляется новый пласт, связанный с формированием универсальных учебных действий), но и на проблемы организации образовательного процесса, в частности – учебного процесса.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Общая идеология стандарта определяет рамки не только разработки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но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оценки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всех разработанных документов, в том числе –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при их апробации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одним из важнейших вопросов является </w:t>
      </w:r>
    </w:p>
    <w:p w:rsidR="00EC2084" w:rsidRPr="00EC2084" w:rsidRDefault="00EC2084" w:rsidP="00EC2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соответствии каждого выносимого на апробацию материала общей идеологии стандарта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непротиворечимости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всей совокупности документов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в частности,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способствуют ли они перестройке образовательного </w:t>
      </w:r>
      <w:r w:rsidRPr="003314D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процесса в духе </w:t>
      </w:r>
      <w:proofErr w:type="spellStart"/>
      <w:r w:rsidRPr="003314D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деятельностной</w:t>
      </w:r>
      <w:proofErr w:type="spellEnd"/>
      <w:r w:rsidRPr="003314D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па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радигмы.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результате утрачивается мотивирующее действие оценки. </w:t>
      </w:r>
    </w:p>
    <w:p w:rsidR="00EC2084" w:rsidRPr="003314D1" w:rsidRDefault="003314D1" w:rsidP="0033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4D1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3.</w:t>
      </w:r>
      <w:r w:rsidR="00EC2084" w:rsidRPr="003314D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C2084" w:rsidRPr="003314D1">
        <w:rPr>
          <w:noProof/>
          <w:sz w:val="28"/>
          <w:lang w:eastAsia="ru-RU"/>
        </w:rPr>
        <w:drawing>
          <wp:inline distT="0" distB="0" distL="0" distR="0" wp14:anchorId="61F8836B" wp14:editId="15D67B36">
            <wp:extent cx="5940425" cy="4457700"/>
            <wp:effectExtent l="0" t="0" r="3175" b="0"/>
            <wp:docPr id="2" name="Рисунок 2" descr="https://arhivurokov.ru/videouroki/html/2018/05/31/v_5b1011bc9bd8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5/31/v_5b1011bc9bd8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Социальная сущность отметки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по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Ш.А.Амонашвили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4D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«Торжествующая пятерка»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«Обнадеживающая четверка»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«Привычная тройка»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«Угнетающая двойка»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Кратко представленная выше общая идеология стандарта: подход к стандарту как к общественному договору, </w:t>
      </w:r>
      <w:proofErr w:type="spell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деятельностная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парадигма образования, нацеленность на достижение результата, – накладывает определенные рамки на все принимаемые разработчиками решения, на все готовящиеся документы – как на Требования стандарта, так и на сопровождающие его документы, обеспечивающие функционирование стандарта.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частности, </w:t>
      </w:r>
      <w:r w:rsidRPr="00EC2084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при организации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эти требования проявляются в необходимости: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lastRenderedPageBreak/>
        <w:t>дифференциации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основе дифференциации требований к освоению учебных программ,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индивидуализации обучения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нацеленности учебного процесса на каждом его этапе, каждом его отрезке, на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достижение определенных, заранее планируемых учителем результатов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организации с этой целью целенаправленной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совместной учебно-познавательной деятельности учителя и учащихся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ученического сообщества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оценочной самостоятельности младших школьников.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наряду с традиционным вопросом “Чему учить?” в новом стандарте важнейшим становится вопрос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учить?”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или, точнее, «Как учить так, чтобы инициировать у детей собственные вопросы: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i/>
          <w:iCs/>
          <w:sz w:val="32"/>
          <w:szCs w:val="24"/>
          <w:lang w:eastAsia="ru-RU"/>
        </w:rPr>
        <w:t>Чему мне нужно научиться?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”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“Как мне этому научиться?”».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Иными словами, в новом стандарте меняется фокусировка: он фокусируется не только на проблемы отбора и организации содержания образования (к которому добавляется новый пласт, связанный с формированием универсальных учебных действий), но и на проблемы организации образовательного процесса, в частности – учебного процесса.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Общая идеология стандарта определяет рамки не только разработки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но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оценки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всех разработанных документов, в том числе – и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при их апробации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Поэтому одним из важнейших вопросов является </w:t>
      </w:r>
    </w:p>
    <w:p w:rsidR="00EC2084" w:rsidRPr="00EC2084" w:rsidRDefault="00EC2084" w:rsidP="00EC20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соответствии каждого выносимого на апробацию материала общей идеологии стандарта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вопрос о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непротиворечимости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всей совокупности документов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в частности,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способствуют ли они перестройке образовательного процесса в духе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деятельностной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прадигмы</w:t>
      </w:r>
      <w:proofErr w:type="spellEnd"/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Ключевые особенности ФГОС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ФГОС –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lastRenderedPageBreak/>
        <w:t>Стандарты первого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поколения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развивающий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были ориентированы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 прогностический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 решение основной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инструмент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задачи - сохранение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модернизации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системы образования.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единого образовательного пространства страны, обеспечение доступности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бразования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пределах минимального достаточного уровня его содержания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.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Кратко представленная выше общая идеология стандарта: подход к стандарту как к общественному договору, </w:t>
      </w:r>
      <w:proofErr w:type="spell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>деятельностная</w:t>
      </w:r>
      <w:proofErr w:type="spell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парадигма образования, нацеленность на достижение результата, – накладывает определенные рамки на все принимаемые разработчиками решения, на все готовящиеся документы – как на Требования стандарта, так и на сопровождающие его документы, обеспечивающие функционирование стандарта.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частности, </w:t>
      </w:r>
      <w:r w:rsidRPr="00EC2084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при организации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эти требования проявляются в необходимости: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дифференциации учебного процесса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основе дифференциации требований к освоению учебных программ,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индивидуализации обучения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нацеленности учебного процесса на каждом его этапе, каждом его отрезке, на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достижение определенных, заранее планируемых учителем результатов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организации с этой целью целенаправленной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совместной учебно-познавательной деятельности учителя и учащихся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ученического сообщества</w:t>
      </w:r>
      <w:proofErr w:type="gramStart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,</w:t>
      </w:r>
      <w:proofErr w:type="gramEnd"/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формирования </w:t>
      </w:r>
      <w:r w:rsidRPr="00EC2084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оценочной самостоятельности младших</w:t>
      </w:r>
      <w:r w:rsidRPr="00EC208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школьников.</w:t>
      </w:r>
      <w:r w:rsidRPr="00EC208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14D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0418A33" wp14:editId="4D5FC096">
            <wp:extent cx="5940425" cy="4458105"/>
            <wp:effectExtent l="0" t="0" r="3175" b="0"/>
            <wp:docPr id="3" name="Рисунок 3" descr="https://arhivurokov.ru/videouroki/html/2018/05/31/v_5b1011bc9bd8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5/31/v_5b1011bc9bd81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В организации формирования оценочной деятельности младших школьников мы выделяем следующие места: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-</w:t>
      </w:r>
      <w:r w:rsidRPr="003314D1">
        <w:rPr>
          <w:rStyle w:val="apple-converted-space"/>
          <w:color w:val="000000"/>
          <w:sz w:val="32"/>
          <w:szCs w:val="28"/>
        </w:rPr>
        <w:t> </w:t>
      </w:r>
      <w:hyperlink r:id="rId8" w:tooltip="Урочная деятельность" w:history="1">
        <w:r w:rsidRPr="003314D1">
          <w:rPr>
            <w:rStyle w:val="a3"/>
            <w:color w:val="743399"/>
            <w:sz w:val="32"/>
            <w:szCs w:val="28"/>
            <w:bdr w:val="none" w:sz="0" w:space="0" w:color="auto" w:frame="1"/>
          </w:rPr>
          <w:t>урочная деятельность</w:t>
        </w:r>
      </w:hyperlink>
      <w:r w:rsidRPr="003314D1">
        <w:rPr>
          <w:color w:val="000000"/>
          <w:sz w:val="32"/>
          <w:szCs w:val="28"/>
        </w:rPr>
        <w:t>, где формируется умение оценивать результаты учебной деятельности, исходя из полученного опыта во время интеллектуальных модулей;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-</w:t>
      </w:r>
      <w:r w:rsidRPr="003314D1">
        <w:rPr>
          <w:rStyle w:val="apple-converted-space"/>
          <w:color w:val="000000"/>
          <w:sz w:val="32"/>
          <w:szCs w:val="28"/>
        </w:rPr>
        <w:t> </w:t>
      </w:r>
      <w:hyperlink r:id="rId9" w:tooltip="Внеурочная деятельность" w:history="1">
        <w:r w:rsidRPr="003314D1">
          <w:rPr>
            <w:rStyle w:val="a3"/>
            <w:color w:val="743399"/>
            <w:sz w:val="32"/>
            <w:szCs w:val="28"/>
            <w:bdr w:val="none" w:sz="0" w:space="0" w:color="auto" w:frame="1"/>
          </w:rPr>
          <w:t>внеурочная деятельность</w:t>
        </w:r>
      </w:hyperlink>
      <w:r w:rsidRPr="003314D1">
        <w:rPr>
          <w:color w:val="000000"/>
          <w:sz w:val="32"/>
          <w:szCs w:val="28"/>
        </w:rPr>
        <w:t>, где формируется умение оценивать действия и поступки вне учебной деятельности.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В первом классе дети узнают о необходимости оценивать результаты деятельности исходя из цели, на которую ориентирована деятельность. Кроме того, ребята на собственном опыте убеждаются о возможности субъективности в оценках, поэтому появляется необходимость в критериях оценивания. Критерии постепенно усложняются и расширяются. В процессе организуется оценивание результатов групповой деятельности своих одноклассников. В результате ребята получают опыт оценивания, который затем переносится в учебную деятельность.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lastRenderedPageBreak/>
        <w:t>Во втором классе на дети знакомятся с бальной системой оценки и рассматривают возможности использования такого оценивания на различном материале. Организуется работа по оцениванию в различных бальных диапазонах: 5 баллов, 4,3,2 и т. д. Во втором классе также продолжается работа с критериями, организуется деятельность по определению критериев к различным видам работ: списывание, диктант, математические диктанты, решение задач, пересказ, чтение наизусть …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Особенностью является то, что организуется преимущественно коллективная и групповая работа, что позволяет достигать качественный результат, обеспечивать уверенность обучающихся.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В процессе урочной деятельности формируется умение оценивать исходя из полученного опыта во время работы. В первом классе отрабатываются умения оценки по критериям (правильно, аккуратно, соответствует теме) с использованием записей «Молодец», « отлично», «Хорошо».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Уроки, относительно формирования умений оценивания, можно разделить на три вида: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- урок с преобладающей целью выработать способы оценки;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- урок, где оценивание является только этапом урока;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- обобщающий урок контроля и оценки, то есть урок, на котором проводится итоговый контроль уровня овладения предметными з</w:t>
      </w:r>
      <w:r w:rsidR="006B65B5">
        <w:rPr>
          <w:color w:val="000000"/>
          <w:sz w:val="32"/>
          <w:szCs w:val="28"/>
        </w:rPr>
        <w:t>ад</w:t>
      </w:r>
      <w:r w:rsidRPr="003314D1">
        <w:rPr>
          <w:color w:val="000000"/>
          <w:sz w:val="32"/>
          <w:szCs w:val="28"/>
        </w:rPr>
        <w:t>аниями и способами действия.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На уроке с преобладающей целью отрабатываются способы оценивания, непосредственно переносятся на конкретные виды учебной деятельности и предметный материал. Например. Сначала ученики выполняют задание, оценивают. Затем я проверяю работы.</w:t>
      </w:r>
    </w:p>
    <w:p w:rsidR="003314D1" w:rsidRPr="003314D1" w:rsidRDefault="003314D1" w:rsidP="003314D1">
      <w:pPr>
        <w:pStyle w:val="a4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 xml:space="preserve">На уроке, где оценивание является только этапом урока, отрабатываются умения и навыки </w:t>
      </w:r>
      <w:proofErr w:type="spellStart"/>
      <w:r w:rsidRPr="003314D1">
        <w:rPr>
          <w:color w:val="000000"/>
          <w:sz w:val="32"/>
          <w:szCs w:val="28"/>
        </w:rPr>
        <w:t>самооценивания</w:t>
      </w:r>
      <w:proofErr w:type="spellEnd"/>
      <w:r w:rsidRPr="003314D1">
        <w:rPr>
          <w:color w:val="000000"/>
          <w:sz w:val="32"/>
          <w:szCs w:val="28"/>
        </w:rPr>
        <w:t xml:space="preserve"> в групповой, парной, но чаще всего в индивидуальной работе. Учащиеся самостоятельно или в группе оценивают свою работу по критериям, </w:t>
      </w:r>
      <w:r w:rsidRPr="003314D1">
        <w:rPr>
          <w:color w:val="000000"/>
          <w:sz w:val="32"/>
          <w:szCs w:val="28"/>
        </w:rPr>
        <w:lastRenderedPageBreak/>
        <w:t>выделенным предварительно на уроке, и определяют оценку всей работы.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На уроке «Обобщающего контроля и оценки» проводятся различные</w:t>
      </w:r>
      <w:r w:rsidRPr="003314D1">
        <w:rPr>
          <w:rStyle w:val="apple-converted-space"/>
          <w:color w:val="000000"/>
          <w:sz w:val="32"/>
          <w:szCs w:val="28"/>
        </w:rPr>
        <w:t> </w:t>
      </w:r>
      <w:hyperlink r:id="rId10" w:tooltip="Проверочные работы" w:history="1">
        <w:r w:rsidRPr="003314D1">
          <w:rPr>
            <w:rStyle w:val="a3"/>
            <w:color w:val="FF0000"/>
            <w:sz w:val="32"/>
            <w:szCs w:val="28"/>
            <w:bdr w:val="none" w:sz="0" w:space="0" w:color="auto" w:frame="1"/>
          </w:rPr>
          <w:t>проверочные работы</w:t>
        </w:r>
      </w:hyperlink>
      <w:r w:rsidRPr="003314D1">
        <w:rPr>
          <w:color w:val="000000"/>
          <w:sz w:val="32"/>
          <w:szCs w:val="28"/>
        </w:rPr>
        <w:t>, которые сначала проверяет и оценивает сам ученик, а затем уже учитель. Далее, ребёнок соотносит свои оценки, проводит анализ работы, выделяет свои «трудности» (проблемы). На данном этапе ученик принимает решение о том, согласен ли он с количеством баллов и претендует ли на большее. Если претендует, тогда он составляет план по коррекции своих проблем, после тренировочных упражнений по освоению того или иного способа действия на уроках, в индивидуальной работе в школе и дома, вновь пишет подобную работу, чтобы увидеть, удалось ли «решить свои проблемы». В таком случае в журнал заносится отметка, полученная при повторном написании проверочной работы, даже, если она ниже первичной. При организации такой работы у учащихся повышается уровень ответственности и самостоятельности.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В процессе формирования оценочной деятельности младшего школьника между учителем и учеником складываются отношения сотрудничества, понимания. Оценка не является орудием</w:t>
      </w:r>
      <w:r w:rsidRPr="003314D1">
        <w:rPr>
          <w:rStyle w:val="apple-converted-space"/>
          <w:color w:val="000000"/>
          <w:sz w:val="32"/>
          <w:szCs w:val="28"/>
        </w:rPr>
        <w:t> </w:t>
      </w:r>
      <w:hyperlink r:id="rId11" w:tooltip="Психология" w:history="1">
        <w:r w:rsidRPr="003314D1">
          <w:rPr>
            <w:rStyle w:val="a3"/>
            <w:color w:val="FF0000"/>
            <w:sz w:val="32"/>
            <w:szCs w:val="28"/>
            <w:bdr w:val="none" w:sz="0" w:space="0" w:color="auto" w:frame="1"/>
          </w:rPr>
          <w:t>психологического</w:t>
        </w:r>
      </w:hyperlink>
      <w:r w:rsidRPr="003314D1">
        <w:rPr>
          <w:rStyle w:val="apple-converted-space"/>
          <w:color w:val="FF0000"/>
          <w:sz w:val="32"/>
          <w:szCs w:val="28"/>
        </w:rPr>
        <w:t> </w:t>
      </w:r>
      <w:r w:rsidRPr="003314D1">
        <w:rPr>
          <w:color w:val="FF0000"/>
          <w:sz w:val="32"/>
          <w:szCs w:val="28"/>
        </w:rPr>
        <w:t>д</w:t>
      </w:r>
      <w:r w:rsidRPr="003314D1">
        <w:rPr>
          <w:color w:val="000000"/>
          <w:sz w:val="32"/>
          <w:szCs w:val="28"/>
        </w:rPr>
        <w:t>авления, которое направлено на ребенка и его родителей. Ответственность за выставленную отметку несут обе стороны, это обоюдное решение.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>Таким образом, ученик становится равноправным участником процесса оценивания. А учитель не вправе брать на себя главенствующую роль. В ходе совместной деятельности по оцениванию</w:t>
      </w:r>
      <w:r w:rsidRPr="003314D1">
        <w:rPr>
          <w:rStyle w:val="apple-converted-space"/>
          <w:color w:val="000000"/>
          <w:sz w:val="32"/>
          <w:szCs w:val="28"/>
        </w:rPr>
        <w:t> </w:t>
      </w:r>
      <w:hyperlink r:id="rId12" w:tooltip="Авторитет" w:history="1">
        <w:r w:rsidRPr="003314D1">
          <w:rPr>
            <w:rStyle w:val="a3"/>
            <w:color w:val="FF0000"/>
            <w:sz w:val="32"/>
            <w:szCs w:val="28"/>
            <w:bdr w:val="none" w:sz="0" w:space="0" w:color="auto" w:frame="1"/>
          </w:rPr>
          <w:t>авторитет</w:t>
        </w:r>
      </w:hyperlink>
      <w:r w:rsidRPr="003314D1">
        <w:rPr>
          <w:rStyle w:val="apple-converted-space"/>
          <w:color w:val="FF0000"/>
          <w:sz w:val="32"/>
          <w:szCs w:val="28"/>
        </w:rPr>
        <w:t> </w:t>
      </w:r>
      <w:r w:rsidRPr="003314D1">
        <w:rPr>
          <w:color w:val="000000"/>
          <w:sz w:val="32"/>
          <w:szCs w:val="28"/>
        </w:rPr>
        <w:t>учителя только возрастает. Учитель становится наставником, экспертом, которого уважают дети и прислушиваются к его мнению.</w:t>
      </w:r>
    </w:p>
    <w:p w:rsidR="003314D1" w:rsidRPr="003314D1" w:rsidRDefault="003314D1" w:rsidP="003314D1">
      <w:pPr>
        <w:pStyle w:val="a4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sz w:val="32"/>
          <w:szCs w:val="28"/>
        </w:rPr>
      </w:pPr>
      <w:r w:rsidRPr="003314D1">
        <w:rPr>
          <w:color w:val="000000"/>
          <w:sz w:val="32"/>
          <w:szCs w:val="28"/>
        </w:rPr>
        <w:t xml:space="preserve">Оценочная деятельность учителя не должна быть отдельной частью урока - она должна пронизывать всю его работу. Одновременно важно помнить, что следует оценивать не только результат учебного труда, но и особенно прилежание, усердие, стремление преодолеть трудности, проявить самостоятельность. Мы в основном учили ребят оценивать уже полученный результат: ответ, работу, а процесс получения, оценивание деятельности не планировали. И конечно, особая проблема – это подготовка всего </w:t>
      </w:r>
      <w:r w:rsidRPr="003314D1">
        <w:rPr>
          <w:color w:val="000000"/>
          <w:sz w:val="32"/>
          <w:szCs w:val="28"/>
        </w:rPr>
        <w:lastRenderedPageBreak/>
        <w:t>педагогического коллектива к осознанию необходимости перехода на новую «</w:t>
      </w:r>
      <w:proofErr w:type="spellStart"/>
      <w:r w:rsidRPr="003314D1">
        <w:rPr>
          <w:color w:val="FF0000"/>
          <w:sz w:val="32"/>
          <w:szCs w:val="28"/>
        </w:rPr>
        <w:fldChar w:fldCharType="begin"/>
      </w:r>
      <w:r w:rsidRPr="003314D1">
        <w:rPr>
          <w:color w:val="FF0000"/>
          <w:sz w:val="32"/>
          <w:szCs w:val="28"/>
        </w:rPr>
        <w:instrText xml:space="preserve"> HYPERLINK "http://pandia.ru/text/categ/nauka/512.php" \o "Философия" </w:instrText>
      </w:r>
      <w:r w:rsidRPr="003314D1">
        <w:rPr>
          <w:color w:val="FF0000"/>
          <w:sz w:val="32"/>
          <w:szCs w:val="28"/>
        </w:rPr>
        <w:fldChar w:fldCharType="separate"/>
      </w:r>
      <w:r w:rsidRPr="003314D1">
        <w:rPr>
          <w:rStyle w:val="a3"/>
          <w:color w:val="FF0000"/>
          <w:sz w:val="32"/>
          <w:szCs w:val="28"/>
          <w:bdr w:val="none" w:sz="0" w:space="0" w:color="auto" w:frame="1"/>
        </w:rPr>
        <w:t>философию</w:t>
      </w:r>
      <w:r w:rsidRPr="003314D1">
        <w:rPr>
          <w:color w:val="FF0000"/>
          <w:sz w:val="32"/>
          <w:szCs w:val="28"/>
        </w:rPr>
        <w:fldChar w:fldCharType="end"/>
      </w:r>
      <w:r w:rsidRPr="003314D1">
        <w:rPr>
          <w:color w:val="FF0000"/>
          <w:sz w:val="32"/>
          <w:szCs w:val="28"/>
        </w:rPr>
        <w:t>оценки</w:t>
      </w:r>
      <w:proofErr w:type="spellEnd"/>
      <w:r w:rsidRPr="003314D1">
        <w:rPr>
          <w:color w:val="000000"/>
          <w:sz w:val="32"/>
          <w:szCs w:val="28"/>
        </w:rPr>
        <w:t>».</w:t>
      </w:r>
    </w:p>
    <w:p w:rsidR="003314D1" w:rsidRPr="003314D1" w:rsidRDefault="003314D1" w:rsidP="003314D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2"/>
        </w:rPr>
      </w:pPr>
    </w:p>
    <w:p w:rsidR="003314D1" w:rsidRDefault="003314D1" w:rsidP="003314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4D1">
        <w:rPr>
          <w:color w:val="000000"/>
          <w:sz w:val="36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Основным объектом системы оценки, её содержательной и </w:t>
      </w:r>
      <w:proofErr w:type="spellStart"/>
      <w:r>
        <w:rPr>
          <w:rStyle w:val="c0"/>
          <w:color w:val="000000"/>
          <w:sz w:val="32"/>
          <w:szCs w:val="32"/>
        </w:rPr>
        <w:t>критериальной</w:t>
      </w:r>
      <w:proofErr w:type="spellEnd"/>
      <w:r>
        <w:rPr>
          <w:rStyle w:val="c0"/>
          <w:color w:val="000000"/>
          <w:sz w:val="32"/>
          <w:szCs w:val="32"/>
        </w:rPr>
        <w:t xml:space="preserve"> базой выступают планируемые результаты освоения младшими школьниками основной образовательной программы начального общего образования: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предметные результаты.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- </w:t>
      </w:r>
      <w:proofErr w:type="spellStart"/>
      <w:r>
        <w:rPr>
          <w:rStyle w:val="c0"/>
          <w:color w:val="000000"/>
          <w:sz w:val="32"/>
          <w:szCs w:val="32"/>
        </w:rPr>
        <w:t>метапредметные</w:t>
      </w:r>
      <w:proofErr w:type="spellEnd"/>
      <w:r>
        <w:rPr>
          <w:rStyle w:val="c0"/>
          <w:color w:val="000000"/>
          <w:sz w:val="32"/>
          <w:szCs w:val="32"/>
        </w:rPr>
        <w:t xml:space="preserve"> результаты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личностные результаты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 результате, по каждому учебному предмету (в том числе и отдельно по разделу этого предмета) можно судить о наличии у школьника предметных знаний и действий с предметным содержанием.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основной части обязательно для всех учащихся. В дополнительную часть включаются задания повышенного уровня.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Комплексная контрольная работа проводится в конце учебного года и проверяет уровень соответствия </w:t>
      </w:r>
      <w:proofErr w:type="spellStart"/>
      <w:r>
        <w:rPr>
          <w:rStyle w:val="c0"/>
          <w:color w:val="000000"/>
          <w:sz w:val="32"/>
          <w:szCs w:val="32"/>
        </w:rPr>
        <w:t>метапредметных</w:t>
      </w:r>
      <w:proofErr w:type="spellEnd"/>
      <w:r>
        <w:rPr>
          <w:rStyle w:val="c0"/>
          <w:color w:val="000000"/>
          <w:sz w:val="32"/>
          <w:szCs w:val="32"/>
        </w:rPr>
        <w:t xml:space="preserve"> результатов обучающихся требованиям ФГОС НОО. 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Процедуры внутренней оценки: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- мониторинговые исследования </w:t>
      </w:r>
      <w:proofErr w:type="spellStart"/>
      <w:r>
        <w:rPr>
          <w:rStyle w:val="c0"/>
          <w:color w:val="000000"/>
          <w:sz w:val="32"/>
          <w:szCs w:val="32"/>
        </w:rPr>
        <w:t>сформированности</w:t>
      </w:r>
      <w:proofErr w:type="spellEnd"/>
      <w:r>
        <w:rPr>
          <w:rStyle w:val="c0"/>
          <w:color w:val="000000"/>
          <w:sz w:val="32"/>
          <w:szCs w:val="32"/>
        </w:rPr>
        <w:t xml:space="preserve"> отдельных личностных качеств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тестирование;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наблюдения;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анкетирование;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возможна оценка индивидуального прогресса личностного развития учащихся, которым необходима специальная поддержка.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Диагностика результатов личностного развития проводится в виде не персонифицированных работ (не должны подписываться). Обобщение результатов проводится по классу в целом.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Личностные результаты отслеживаются с помощью портфеля индивидуальных образовательных достижений обучающихся. Структура Портфеля достижений для всех категорий учащихся представляет собой комплексную модель, состоящую из </w:t>
      </w:r>
      <w:r>
        <w:rPr>
          <w:rStyle w:val="c0"/>
          <w:color w:val="000000"/>
          <w:sz w:val="32"/>
          <w:szCs w:val="32"/>
        </w:rPr>
        <w:lastRenderedPageBreak/>
        <w:t>нескольких разделов, в каждой школе она различна.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Личностные результаты выпускников на ступени начального общего образования не подлежат итоговой оценке.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Балльная оценка предполагает предварительное описание норм оценивания в баллах. Для этого для проведения работы выбирается шкала (или шкалы) оценивания (5-тибалльная, 10-балльная, n-балльная); балльная оценка традиционно применяется в школе для оценивания предметных результатов учащихся. Это наиболее быстрый в реализации механизм оценивания предметных результатов учащихся. Однако его существенным ограничением является содержательная «свернутость» результата оценки. Непосредственно балл лишь обобщенно характеризует объект оценки.</w:t>
      </w:r>
    </w:p>
    <w:p w:rsidR="003314D1" w:rsidRDefault="003314D1" w:rsidP="003314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Уровневая оценка подразумевает предварительное содержательное описание уровней, фиксирующих состояние оцениваемого объекта и описание признаков и способов диагностирования, обеспечивающего отнесение состояния оцениваемого объекта к одному из описанных уровней.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Итоговое оценивание осуществляется по признакам уровней успешности: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-низкий (недостаточный) уровень - выполнено правильно менее 50 % заданий базового уровня, освоена внешняя сторона алгоритма, правила;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базовый (необходимый предметный)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 школе;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- повышенный (функциональный) уровень - учащимся продемонстрировано усвоение опорной системы знаний на уровне осознанного произвольного овладения учебными действиями, а также способность использовать, преобразовывать знание (способ действия) для решения задач в новых условиях, новых структурах действия.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Рейтинг отражает участие школьников в любых интеллектуальных, творческих и спортивных состязаниях, проводимых как в школе, так и за её пределами.</w:t>
      </w:r>
    </w:p>
    <w:p w:rsidR="003314D1" w:rsidRDefault="003314D1" w:rsidP="003314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 каждое достижение определенного уровня ученику начисляются баллы в рейтинговой таблице.</w:t>
      </w:r>
    </w:p>
    <w:p w:rsidR="003314D1" w:rsidRDefault="003314D1" w:rsidP="003314D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 Рейтинговая оценка способствует: повышению учебной мотивации и ответственности, росту социальной активности, ориентации на успех, формированию более адекватной самооценки.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Система оценивания должна выстраиваться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>
        <w:rPr>
          <w:rStyle w:val="c0"/>
          <w:color w:val="000000"/>
          <w:sz w:val="32"/>
          <w:szCs w:val="32"/>
        </w:rPr>
        <w:t>взаимооценке</w:t>
      </w:r>
      <w:proofErr w:type="spellEnd"/>
      <w:r>
        <w:rPr>
          <w:rStyle w:val="c0"/>
          <w:color w:val="00000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Сейчас мы проходим достаточно трудный путь реализации требований ФГОС нового поколения. Школе требуется создать такую систему оценивания, которая бы точно и объективно позволяла бы отслеживать не только отдельные стороны или проявления способностей ученика — как в отношении освоения им системы знаний, так и в отношении освоения способов действий, но и давала бы действительно целостное, а не разрозненное представление об учебных достижениях ребенка, о достижении им планируемых результатов обучения.</w:t>
      </w:r>
    </w:p>
    <w:p w:rsidR="003314D1" w:rsidRDefault="003314D1" w:rsidP="003314D1"/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084" w:rsidRPr="00EC2084" w:rsidRDefault="00EC2084" w:rsidP="00EC2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4EB" w:rsidRPr="003314D1" w:rsidRDefault="00CB54EB">
      <w:pPr>
        <w:rPr>
          <w:rFonts w:ascii="Times New Roman" w:hAnsi="Times New Roman" w:cs="Times New Roman"/>
          <w:sz w:val="24"/>
        </w:rPr>
      </w:pPr>
    </w:p>
    <w:sectPr w:rsidR="00CB54EB" w:rsidRPr="0033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1B"/>
    <w:multiLevelType w:val="multilevel"/>
    <w:tmpl w:val="5BF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368F"/>
    <w:multiLevelType w:val="multilevel"/>
    <w:tmpl w:val="A16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2640"/>
    <w:multiLevelType w:val="multilevel"/>
    <w:tmpl w:val="3E0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2522D"/>
    <w:multiLevelType w:val="multilevel"/>
    <w:tmpl w:val="A49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03CBE"/>
    <w:multiLevelType w:val="multilevel"/>
    <w:tmpl w:val="F22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55FC3"/>
    <w:multiLevelType w:val="multilevel"/>
    <w:tmpl w:val="F00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C3429"/>
    <w:multiLevelType w:val="multilevel"/>
    <w:tmpl w:val="A8CE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74267"/>
    <w:multiLevelType w:val="hybridMultilevel"/>
    <w:tmpl w:val="B2026C70"/>
    <w:lvl w:ilvl="0" w:tplc="3ED60D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56BDB"/>
    <w:multiLevelType w:val="multilevel"/>
    <w:tmpl w:val="F38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F651F"/>
    <w:multiLevelType w:val="multilevel"/>
    <w:tmpl w:val="346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91625"/>
    <w:multiLevelType w:val="multilevel"/>
    <w:tmpl w:val="589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B46FA"/>
    <w:multiLevelType w:val="multilevel"/>
    <w:tmpl w:val="52C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D4BC5"/>
    <w:multiLevelType w:val="hybridMultilevel"/>
    <w:tmpl w:val="DA28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896"/>
    <w:multiLevelType w:val="multilevel"/>
    <w:tmpl w:val="840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250DF"/>
    <w:multiLevelType w:val="multilevel"/>
    <w:tmpl w:val="9B1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F2583"/>
    <w:multiLevelType w:val="multilevel"/>
    <w:tmpl w:val="B8C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455F4"/>
    <w:multiLevelType w:val="multilevel"/>
    <w:tmpl w:val="825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4"/>
    <w:rsid w:val="003314D1"/>
    <w:rsid w:val="006B65B5"/>
    <w:rsid w:val="00C600BA"/>
    <w:rsid w:val="00CB54EB"/>
    <w:rsid w:val="00E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4D1"/>
  </w:style>
  <w:style w:type="character" w:customStyle="1" w:styleId="apple-converted-space">
    <w:name w:val="apple-converted-space"/>
    <w:basedOn w:val="a0"/>
    <w:rsid w:val="003314D1"/>
  </w:style>
  <w:style w:type="paragraph" w:styleId="a5">
    <w:name w:val="List Paragraph"/>
    <w:basedOn w:val="a"/>
    <w:uiPriority w:val="34"/>
    <w:qFormat/>
    <w:rsid w:val="0033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4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4D1"/>
  </w:style>
  <w:style w:type="character" w:customStyle="1" w:styleId="apple-converted-space">
    <w:name w:val="apple-converted-space"/>
    <w:basedOn w:val="a0"/>
    <w:rsid w:val="003314D1"/>
  </w:style>
  <w:style w:type="paragraph" w:styleId="a5">
    <w:name w:val="List Paragraph"/>
    <w:basedOn w:val="a"/>
    <w:uiPriority w:val="34"/>
    <w:qFormat/>
    <w:rsid w:val="0033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rochnaya_deyatelmznostm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avtor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/nauka/449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veroch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neuroch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gulsina</cp:lastModifiedBy>
  <cp:revision>2</cp:revision>
  <dcterms:created xsi:type="dcterms:W3CDTF">2018-10-07T20:09:00Z</dcterms:created>
  <dcterms:modified xsi:type="dcterms:W3CDTF">2018-10-07T20:09:00Z</dcterms:modified>
</cp:coreProperties>
</file>